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C8" w:rsidRPr="00615FC6" w:rsidRDefault="00184BC8" w:rsidP="00184BC8">
      <w:pPr>
        <w:overflowPunct w:val="0"/>
        <w:adjustRightInd w:val="0"/>
        <w:snapToGrid w:val="0"/>
        <w:jc w:val="center"/>
        <w:rPr>
          <w:rFonts w:asciiTheme="minorEastAsia" w:eastAsiaTheme="minorEastAsia" w:hAnsiTheme="minorEastAsia"/>
          <w:szCs w:val="32"/>
        </w:rPr>
      </w:pPr>
      <w:r w:rsidRPr="00615FC6">
        <w:rPr>
          <w:rFonts w:asciiTheme="minorEastAsia" w:eastAsiaTheme="minorEastAsia" w:hAnsiTheme="minorEastAsia" w:hint="eastAsia"/>
          <w:sz w:val="44"/>
          <w:szCs w:val="44"/>
        </w:rPr>
        <w:t>《关于组织做好职业院校专业人才培养方案制订与实施工作的通知》（教职成司函〔2019〕61号）</w:t>
      </w:r>
    </w:p>
    <w:p w:rsidR="002756C2" w:rsidRPr="00615FC6" w:rsidRDefault="002756C2" w:rsidP="002756C2">
      <w:pPr>
        <w:pStyle w:val="1-21"/>
        <w:overflowPunct w:val="0"/>
        <w:spacing w:line="240" w:lineRule="auto"/>
        <w:ind w:firstLineChars="0" w:firstLine="0"/>
        <w:rPr>
          <w:rFonts w:asciiTheme="minorEastAsia" w:eastAsiaTheme="minorEastAsia" w:hAnsiTheme="minorEastAsia"/>
          <w:sz w:val="32"/>
          <w:szCs w:val="32"/>
        </w:rPr>
      </w:pPr>
      <w:r w:rsidRPr="00615FC6">
        <w:rPr>
          <w:rFonts w:asciiTheme="minorEastAsia" w:eastAsiaTheme="minorEastAsia" w:hAnsiTheme="minorEastAsia"/>
          <w:sz w:val="32"/>
          <w:szCs w:val="32"/>
        </w:rPr>
        <w:t>附件</w:t>
      </w:r>
    </w:p>
    <w:p w:rsidR="002756C2" w:rsidRPr="00615FC6" w:rsidRDefault="002756C2" w:rsidP="002756C2">
      <w:pPr>
        <w:overflowPunct w:val="0"/>
        <w:adjustRightInd w:val="0"/>
        <w:rPr>
          <w:rFonts w:asciiTheme="minorEastAsia" w:eastAsiaTheme="minorEastAsia" w:hAnsiTheme="minorEastAsia"/>
          <w:szCs w:val="32"/>
        </w:rPr>
      </w:pPr>
    </w:p>
    <w:p w:rsidR="002756C2" w:rsidRPr="00615FC6" w:rsidRDefault="002756C2" w:rsidP="002756C2">
      <w:pPr>
        <w:overflowPunct w:val="0"/>
        <w:adjustRightInd w:val="0"/>
        <w:snapToGrid w:val="0"/>
        <w:jc w:val="center"/>
        <w:rPr>
          <w:rFonts w:asciiTheme="minorEastAsia" w:eastAsiaTheme="minorEastAsia" w:hAnsiTheme="minorEastAsia"/>
          <w:sz w:val="44"/>
          <w:szCs w:val="44"/>
        </w:rPr>
      </w:pPr>
      <w:r w:rsidRPr="00615FC6">
        <w:rPr>
          <w:rFonts w:asciiTheme="minorEastAsia" w:eastAsiaTheme="minorEastAsia" w:hAnsiTheme="minorEastAsia"/>
          <w:sz w:val="44"/>
          <w:szCs w:val="44"/>
        </w:rPr>
        <w:t>职业院校专业人才培养方案</w:t>
      </w:r>
    </w:p>
    <w:p w:rsidR="002756C2" w:rsidRPr="00615FC6" w:rsidRDefault="002756C2" w:rsidP="002756C2">
      <w:pPr>
        <w:overflowPunct w:val="0"/>
        <w:adjustRightInd w:val="0"/>
        <w:snapToGrid w:val="0"/>
        <w:jc w:val="center"/>
        <w:rPr>
          <w:rFonts w:asciiTheme="minorEastAsia" w:eastAsiaTheme="minorEastAsia" w:hAnsiTheme="minorEastAsia"/>
          <w:sz w:val="44"/>
          <w:szCs w:val="44"/>
        </w:rPr>
      </w:pPr>
      <w:r w:rsidRPr="00615FC6">
        <w:rPr>
          <w:rFonts w:asciiTheme="minorEastAsia" w:eastAsiaTheme="minorEastAsia" w:hAnsiTheme="minorEastAsia"/>
          <w:sz w:val="44"/>
          <w:szCs w:val="44"/>
        </w:rPr>
        <w:t>参考格式及有关说明</w:t>
      </w:r>
    </w:p>
    <w:p w:rsidR="002756C2" w:rsidRPr="00615FC6" w:rsidRDefault="002756C2" w:rsidP="002756C2">
      <w:pPr>
        <w:overflowPunct w:val="0"/>
        <w:ind w:firstLineChars="200" w:firstLine="640"/>
        <w:rPr>
          <w:rFonts w:asciiTheme="minorEastAsia" w:eastAsiaTheme="minorEastAsia" w:hAnsiTheme="minorEastAsia"/>
          <w:szCs w:val="32"/>
        </w:rPr>
      </w:pP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一、专业名称及代码</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对照中、高职现行专业目录规范表述。</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二、入学要求</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中等职业学校学历教育入学要求一般为初中毕业生或具有同等学力者。</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高等职业学校学历教育入学要求一般为高中阶段教育毕业生或具有同等学力者。</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三、修业年限</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中、高职学历教育修业年限均以3年为主，可以根据学生灵活学习需求合理、弹性安排学习时间。</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四、职业面向</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可以表格的形式呈现。包括本专业所属专业大类（专业类）及代码，本专业所对应的行业、主要职业类别、主要岗位类别（或技术领域）、职业技能等级证书、社会认可度高</w:t>
      </w:r>
      <w:r w:rsidRPr="00615FC6">
        <w:rPr>
          <w:rFonts w:asciiTheme="minorEastAsia" w:eastAsiaTheme="minorEastAsia" w:hAnsiTheme="minorEastAsia"/>
        </w:rPr>
        <w:lastRenderedPageBreak/>
        <w:t>的行业企业标准和证书举例。</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五、培养目标与培养规格</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（一）培养目标</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中、高职根据各自的办学层次和办学定位，参照国家专业教学标准，科学合理确定本专业人才培养目标。</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（二）培养规格</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本专业毕业生应具备的素质、知识和能力等方面的要求，应将本专业所特有的，有别于其他专业的职业素养要求纳入。</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六、课程设置及要求</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主要包括公共基础课程和专业（技能）课程。</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（一）公共基础课程</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应准确描述各门课程的课程目标、主要内容和教学要求，落实国家有关规定和要求。</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（二）专业（技能）课程</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应准确描述各门课程的课程目标、主要内容和教学要求，增强可操作性。</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七、教学进程总体安排</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w:t>
      </w:r>
      <w:r w:rsidRPr="00615FC6">
        <w:rPr>
          <w:rFonts w:asciiTheme="minorEastAsia" w:eastAsiaTheme="minorEastAsia" w:hAnsiTheme="minorEastAsia"/>
        </w:rPr>
        <w:lastRenderedPageBreak/>
        <w:t>关学时比例要求。</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八、实施保障</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主要包括师资队伍、教学设施、教学资源、教学方法、学习评价、质量管理等方面。</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（一）师资队伍</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对专兼职教师的数量、结构、素质等提出有关要求。</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（二）教学设施</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对教室，校内、校外实习实训基地等提出有关要求。</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（三）教学资源</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对教材选用、图书文献配备、数字资源配备等提出有关要求。</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（四）教学方法</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对实施教学应采取的方法提出要求和建议。</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（五）学习评价</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对学生学习评价的方式方法提出要求和建议。</w:t>
      </w:r>
    </w:p>
    <w:p w:rsidR="002756C2" w:rsidRPr="00615FC6" w:rsidRDefault="002756C2" w:rsidP="002756C2">
      <w:pPr>
        <w:overflowPunct w:val="0"/>
        <w:adjustRightInd w:val="0"/>
        <w:ind w:firstLineChars="200" w:firstLine="643"/>
        <w:outlineLvl w:val="0"/>
        <w:rPr>
          <w:rFonts w:asciiTheme="minorEastAsia" w:eastAsiaTheme="minorEastAsia" w:hAnsiTheme="minorEastAsia"/>
          <w:b/>
          <w:szCs w:val="32"/>
        </w:rPr>
      </w:pPr>
      <w:r w:rsidRPr="00615FC6">
        <w:rPr>
          <w:rFonts w:asciiTheme="minorEastAsia" w:eastAsiaTheme="minorEastAsia" w:hAnsiTheme="minorEastAsia"/>
          <w:b/>
          <w:szCs w:val="32"/>
        </w:rPr>
        <w:t>（六）质量管理</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对专业人才培养的质量管理提出要求。</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t>九、毕业要求</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毕业要求是学生通过规定年限的学习，须修满的专业人才培养方案所规定的学时学分，完成规定的教学活动，毕业时应达到的素质、知识和能力等方面要求。毕业要求应能支撑培养目标的有效达成。</w:t>
      </w:r>
    </w:p>
    <w:p w:rsidR="002756C2" w:rsidRPr="00615FC6" w:rsidRDefault="002756C2" w:rsidP="002756C2">
      <w:pPr>
        <w:overflowPunct w:val="0"/>
        <w:adjustRightInd w:val="0"/>
        <w:ind w:firstLineChars="200" w:firstLine="640"/>
        <w:outlineLvl w:val="0"/>
        <w:rPr>
          <w:rFonts w:asciiTheme="minorEastAsia" w:eastAsiaTheme="minorEastAsia" w:hAnsiTheme="minorEastAsia"/>
          <w:szCs w:val="32"/>
        </w:rPr>
      </w:pPr>
      <w:r w:rsidRPr="00615FC6">
        <w:rPr>
          <w:rFonts w:asciiTheme="minorEastAsia" w:eastAsiaTheme="minorEastAsia" w:hAnsiTheme="minorEastAsia"/>
          <w:szCs w:val="32"/>
        </w:rPr>
        <w:lastRenderedPageBreak/>
        <w:t>十、附录</w:t>
      </w:r>
    </w:p>
    <w:p w:rsidR="002756C2" w:rsidRPr="00615FC6" w:rsidRDefault="002756C2" w:rsidP="002756C2">
      <w:pPr>
        <w:overflowPunct w:val="0"/>
        <w:adjustRightInd w:val="0"/>
        <w:ind w:firstLineChars="200" w:firstLine="640"/>
        <w:rPr>
          <w:rFonts w:asciiTheme="minorEastAsia" w:eastAsiaTheme="minorEastAsia" w:hAnsiTheme="minorEastAsia"/>
        </w:rPr>
      </w:pPr>
      <w:r w:rsidRPr="00615FC6">
        <w:rPr>
          <w:rFonts w:asciiTheme="minorEastAsia" w:eastAsiaTheme="minorEastAsia" w:hAnsiTheme="minorEastAsia"/>
        </w:rPr>
        <w:t>一般包括教学进程安排表、变更审批表等。</w:t>
      </w:r>
    </w:p>
    <w:p w:rsidR="00730328" w:rsidRPr="00615FC6" w:rsidRDefault="00730328">
      <w:pPr>
        <w:rPr>
          <w:rFonts w:asciiTheme="minorEastAsia" w:eastAsiaTheme="minorEastAsia" w:hAnsiTheme="minorEastAsia"/>
        </w:rPr>
      </w:pPr>
      <w:bookmarkStart w:id="0" w:name="_GoBack"/>
      <w:bookmarkEnd w:id="0"/>
    </w:p>
    <w:sectPr w:rsidR="00730328" w:rsidRPr="00615FC6" w:rsidSect="00020B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554" w:rsidRDefault="00FB6554" w:rsidP="00184BC8">
      <w:r>
        <w:separator/>
      </w:r>
    </w:p>
  </w:endnote>
  <w:endnote w:type="continuationSeparator" w:id="0">
    <w:p w:rsidR="00FB6554" w:rsidRDefault="00FB6554" w:rsidP="00184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554" w:rsidRDefault="00FB6554" w:rsidP="00184BC8">
      <w:r>
        <w:separator/>
      </w:r>
    </w:p>
  </w:footnote>
  <w:footnote w:type="continuationSeparator" w:id="0">
    <w:p w:rsidR="00FB6554" w:rsidRDefault="00FB6554" w:rsidP="00184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6C2"/>
    <w:rsid w:val="00020BA8"/>
    <w:rsid w:val="00184BC8"/>
    <w:rsid w:val="002756C2"/>
    <w:rsid w:val="00615FC6"/>
    <w:rsid w:val="00704305"/>
    <w:rsid w:val="00730328"/>
    <w:rsid w:val="008F0459"/>
    <w:rsid w:val="00FB6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 w:type="paragraph" w:styleId="a3">
    <w:name w:val="header"/>
    <w:basedOn w:val="a"/>
    <w:link w:val="Char"/>
    <w:uiPriority w:val="99"/>
    <w:semiHidden/>
    <w:unhideWhenUsed/>
    <w:rsid w:val="00184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4BC8"/>
    <w:rPr>
      <w:rFonts w:ascii="Times New Roman" w:eastAsia="仿宋_GB2312" w:hAnsi="Times New Roman" w:cs="Times New Roman"/>
      <w:sz w:val="18"/>
      <w:szCs w:val="18"/>
    </w:rPr>
  </w:style>
  <w:style w:type="paragraph" w:styleId="a4">
    <w:name w:val="footer"/>
    <w:basedOn w:val="a"/>
    <w:link w:val="Char0"/>
    <w:uiPriority w:val="99"/>
    <w:semiHidden/>
    <w:unhideWhenUsed/>
    <w:rsid w:val="00184B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4BC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894</Characters>
  <Application>Microsoft Office Word</Application>
  <DocSecurity>0</DocSecurity>
  <Lines>7</Lines>
  <Paragraphs>2</Paragraphs>
  <ScaleCrop>false</ScaleCrop>
  <Company>CHINA</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4</cp:revision>
  <dcterms:created xsi:type="dcterms:W3CDTF">2019-06-18T07:22:00Z</dcterms:created>
  <dcterms:modified xsi:type="dcterms:W3CDTF">2019-11-18T08:56:00Z</dcterms:modified>
</cp:coreProperties>
</file>